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budžetskih prihoda i primanja gradova Novi Pazar, Kraljevo i Čačak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o budžetskim prihodima i primanjima za tri grada – Novi Pazar, Kraljevo i Čačak – analizirani su uzimajući u obzir dve perspektive:</w:t>
      </w:r>
      <w:r/>
    </w:p>
    <w:p>
      <w:pPr>
        <w:pStyle w:val="605"/>
        <w:numPr>
          <w:ilvl w:val="0"/>
          <w:numId w:val="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Analiza po godinama uzimajući 2022. godinu kao baznu (indeksni poeni).</w:t>
      </w:r>
      <w:r/>
    </w:p>
    <w:p>
      <w:pPr>
        <w:pStyle w:val="605"/>
        <w:numPr>
          <w:ilvl w:val="0"/>
          <w:numId w:val="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Poređenje između gradova uzimajući Novi Pazar kao baznu vrednost.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Analiza je urađena na osnovu Odluka o budžetu koje se mogu pronaći na zvaničnim prezentacijama gradova (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hyperlink r:id="rId11" w:tooltip="https://www.novipazar.rs/dokumenti#2023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highlight w:val="none"/>
          </w:rPr>
          <w:t xml:space="preserve">https://www.novipazar.rs/dokumenti#2023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za Novi Pazar,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hyperlink r:id="rId12" w:tooltip="https://www.kraljevo.rs/dokumenti/budzet/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highlight w:val="none"/>
          </w:rPr>
          <w:t xml:space="preserve">https://www.kraljevo.rs/dokumenti/budzet/</w:t>
        </w:r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 za Kraljevo i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  <w:hyperlink r:id="rId13" w:tooltip="https://www.cacak.org.rs/253-1-l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highlight w:val="none"/>
          </w:rPr>
          <w:t xml:space="preserve">https://www.cacak.org.rs/253-1-l</w:t>
        </w:r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 za Čačak)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</w:r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Analiza po godinama (indeksni poeni, baza 2022. godina)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Indeksni poeni su izračunati poređenjem prihoda u svakoj narednoj godini sa baznom 2022. godinom. 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1: Indeksni poeni po gradovima (baza 2022. godina)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574"/>
        <w:gridCol w:w="1701"/>
        <w:gridCol w:w="1559"/>
        <w:gridCol w:w="1843"/>
        <w:gridCol w:w="170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Prihodi 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Prihodi 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Indeks 2023 (2022=100)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Prihodi 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Indeks 2024 (2022=100)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3.532.000.000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4.694.500.000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4.272.900.000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4.289.917.110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5.064.293.600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5.348.546.800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6.158.384.000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8.300.000.000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8.820.000.000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143</w:t>
            </w:r>
            <w:r/>
          </w:p>
        </w:tc>
      </w:tr>
    </w:tbl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8939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Zaključci:</w:t>
      </w:r>
      <w:r/>
    </w:p>
    <w:p>
      <w:pPr>
        <w:pStyle w:val="605"/>
        <w:numPr>
          <w:ilvl w:val="0"/>
          <w:numId w:val="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Budžetski prihodi su porasli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33% u 2023. godini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ali su u 2024. smanjeni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121% u odnosu na 2022. godinu.</w:t>
      </w:r>
      <w:r/>
    </w:p>
    <w:p>
      <w:pPr>
        <w:pStyle w:val="605"/>
        <w:numPr>
          <w:ilvl w:val="0"/>
          <w:numId w:val="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Prihodi su stabilno rasli, dostigavši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18% porasta u 2023.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25% u 2024.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baznu 2022. godinu.</w:t>
      </w:r>
      <w:r/>
    </w:p>
    <w:p>
      <w:pPr>
        <w:pStyle w:val="605"/>
        <w:numPr>
          <w:ilvl w:val="0"/>
          <w:numId w:val="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Imao je najveći rast prihoda. U 2023. godini porast je iznosio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35%,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dok je u 2024. godini prihod dostigao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43% više u odnosu na 2022. godinu.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Analiza po gradovima (Novi Pazar kao baza)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ovoj analizi prihodi ostalih gradova poređeni su sa budžetskim prihodima Novog Pazara, koristeći ga kao osnovnu vrednost (baza = 100). 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2: Indeksni poeni po gradovima (baza Novi Pazar)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335"/>
        <w:gridCol w:w="1650"/>
        <w:gridCol w:w="2316"/>
        <w:gridCol w:w="32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Prihodi (mil. RSD)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 (baza=100)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Indeksni poen (u odnosu na NP)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4.694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5.064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206</w:t>
            </w:r>
            <w:r/>
          </w:p>
        </w:tc>
      </w:tr>
    </w:tbl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Zaključci:</w:t>
      </w:r>
      <w:r/>
    </w:p>
    <w:p>
      <w:pPr>
        <w:pStyle w:val="605"/>
        <w:numPr>
          <w:ilvl w:val="0"/>
          <w:numId w:val="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2022. godini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budžet Kraljeva je bio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22% veći od Novog Pazara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budžet Čačka bio skoro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74% veći.</w:t>
      </w:r>
      <w:r/>
    </w:p>
    <w:p>
      <w:pPr>
        <w:pStyle w:val="605"/>
        <w:numPr>
          <w:ilvl w:val="0"/>
          <w:numId w:val="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2023. godini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iako je Novi Pazar zabeležio značajan rast budžeta, Čačak je zadržao visoku prednost, sa budžetom većim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Novi Pazar.</w:t>
      </w:r>
      <w:r/>
    </w:p>
    <w:p>
      <w:pPr>
        <w:pStyle w:val="605"/>
        <w:numPr>
          <w:ilvl w:val="0"/>
          <w:numId w:val="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2024. godini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razlika između Novog Pazara i Čačka dodatno raste – budžet Čačka je više nego dvostruko veći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206% u odnosu na 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7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Komparativna analiza između gradova</w:t>
      </w:r>
      <w:r/>
    </w:p>
    <w:p>
      <w:pPr>
        <w:pStyle w:val="19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3: Rast prihoda po gradovima (2022-2024, u apsolutnim iznosima)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1984"/>
        <w:gridCol w:w="2268"/>
        <w:gridCol w:w="174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Grad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Prihodi 2022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Prihodi 2024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Apsolutni rast (2024-2022)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Procentualni rast (%)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Novi Pazar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3.532.000.000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4.272.900.000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740.900.000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21%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Kraljevo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4.289.917.110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5.348.546.800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1.058.629.690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25%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Čačak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6.158.384.000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8.820.000.000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2.661.616.000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43%</w:t>
            </w:r>
            <w:r>
              <w:rPr>
                <w:b w:val="0"/>
                <w:bCs w:val="0"/>
              </w:rPr>
            </w:r>
          </w:p>
        </w:tc>
      </w:tr>
    </w:tbl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83525" cy="326698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14232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5283524" cy="3266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16.0pt;height:257.2pt;mso-wrap-distance-left:0.0pt;mso-wrap-distance-top:0.0pt;mso-wrap-distance-right:0.0pt;mso-wrap-distance-bottom:0.0pt;rotation:0;" stroked="false">
                <v:path textboxrect="0,0,0,0"/>
                <v:imagedata r:id="rId15" o:title=""/>
              </v:shape>
            </w:pict>
          </mc:Fallback>
        </mc:AlternateContent>
      </w:r>
      <w:r/>
      <w:r/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Zaključci:</w:t>
      </w:r>
      <w:r/>
    </w:p>
    <w:p>
      <w:pPr>
        <w:pStyle w:val="605"/>
        <w:numPr>
          <w:ilvl w:val="0"/>
          <w:numId w:val="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je zabeležio najveći apsolutni rast prihoda između 2022. i 2024. godine (2,66 milijardi dinara), sa procentualnim rastom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43%.</w:t>
      </w:r>
      <w:r/>
    </w:p>
    <w:p>
      <w:pPr>
        <w:pStyle w:val="605"/>
        <w:numPr>
          <w:ilvl w:val="0"/>
          <w:numId w:val="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je ostvarilo rast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1,06 milijardi dinara (25%),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dok je Novi Pazar ostvario rast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740,9 miliona dinara (21%).</w:t>
      </w:r>
      <w:r/>
    </w:p>
    <w:p>
      <w:pPr>
        <w:pStyle w:val="605"/>
        <w:numPr>
          <w:ilvl w:val="0"/>
          <w:numId w:val="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ima znatno brži rast prihoda u odnosu na Novi Pazar i Kraljevo, što ukazuje na jaču ekonomsku dinamiku i veću osnovu budžeta.</w:t>
      </w:r>
      <w:r/>
    </w:p>
    <w:p>
      <w:pPr>
        <w:pStyle w:val="17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 i preporuke</w:t>
      </w:r>
      <w:r/>
    </w:p>
    <w:p>
      <w:pPr>
        <w:pStyle w:val="605"/>
        <w:numPr>
          <w:ilvl w:val="0"/>
          <w:numId w:val="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Iako Novi Pazar beleži rast prihoda u 2023. godini (33% u odnosu na 2022.), prihod u 2024. godini opada za 9% u odnosu na 2023. Ovaj pad zahteva analizu uzroka, kao što su smanjena naplata poreza ili slabija privredna aktivnost.</w:t>
      </w:r>
      <w:r/>
    </w:p>
    <w:p>
      <w:pPr>
        <w:pStyle w:val="605"/>
        <w:numPr>
          <w:ilvl w:val="0"/>
          <w:numId w:val="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Stabilan rast budžeta (25% od 2022. do 2024.) ukazuje na održiv razvoj, ali zaostaje za dinamikom Čačka.</w:t>
      </w:r>
      <w:r/>
    </w:p>
    <w:p>
      <w:pPr>
        <w:pStyle w:val="605"/>
        <w:numPr>
          <w:ilvl w:val="0"/>
          <w:numId w:val="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apsolutni i relativni rast (43%) pokazuje da ovaj grad ima najdinamičniji ekonomski razvoj i veći potencijal za prihodovanje, zahvaljujući snažnoj privredi ili boljoj fiskalnoj politici.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Novi Pazar:</w:t>
      </w:r>
      <w:r/>
    </w:p>
    <w:p>
      <w:pPr>
        <w:pStyle w:val="605"/>
        <w:numPr>
          <w:ilvl w:val="0"/>
          <w:numId w:val="1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Fokusirati se na jačanje lokalne privrede, povećanje investicija i bolju naplatu lokalnih poreza.</w:t>
      </w:r>
      <w:r/>
    </w:p>
    <w:p>
      <w:pPr>
        <w:pStyle w:val="605"/>
        <w:numPr>
          <w:ilvl w:val="0"/>
          <w:numId w:val="1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Razmotriti mehanizme za diverzifikaciju budžetskih prihoda kako bi se smanjila zavisnost od sezonskih ili jednokratnih prihoda.</w:t>
      </w:r>
      <w:r/>
      <w:r/>
      <w:r/>
      <w:r>
        <w:rPr>
          <w:rFonts w:ascii="Times New Roman" w:hAnsi="Times New Roman" w:eastAsia="Times New Roman" w:cs="Times New Roman"/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09758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59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7346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www.novipazar.rs/dokumenti#2023" TargetMode="External"/><Relationship Id="rId12" Type="http://schemas.openxmlformats.org/officeDocument/2006/relationships/hyperlink" Target="https://www.kraljevo.rs/dokumenti/budzet/" TargetMode="External"/><Relationship Id="rId13" Type="http://schemas.openxmlformats.org/officeDocument/2006/relationships/hyperlink" Target="https://www.cacak.org.rs/253-1-l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2025-01-28T09:54:07Z</dcterms:modified>
</cp:coreProperties>
</file>